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bookmarkStart w:id="0" w:name="_GoBack"/>
      <w:bookmarkEnd w:id="0"/>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1"/>
        <w:gridCol w:w="4928"/>
      </w:tblGrid>
      <w:tr w:rsidR="00A160B2" w14:paraId="3E9231EB" w14:textId="77777777" w:rsidTr="00622E05">
        <w:trPr>
          <w:tblHeader/>
        </w:trPr>
        <w:tc>
          <w:tcPr>
            <w:tcW w:w="3381"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8" w:type="dxa"/>
            <w:tcBorders>
              <w:bottom w:val="single" w:sz="18" w:space="0" w:color="auto"/>
            </w:tcBorders>
          </w:tcPr>
          <w:p w14:paraId="55A88F66" w14:textId="53326E12" w:rsidR="00A160B2" w:rsidRPr="00A160B2" w:rsidRDefault="00622E05" w:rsidP="006C3150">
            <w:pPr>
              <w:pStyle w:val="Heading1"/>
              <w:outlineLvl w:val="0"/>
              <w:rPr>
                <w:color w:val="0000FF"/>
                <w:szCs w:val="24"/>
              </w:rPr>
            </w:pPr>
            <w:r>
              <w:rPr>
                <w:szCs w:val="36"/>
              </w:rPr>
              <w:t>Governance, Audit, Risk Management and Standards Committee (GARMS)</w:t>
            </w:r>
          </w:p>
        </w:tc>
      </w:tr>
      <w:tr w:rsidR="00A160B2" w14:paraId="5281F5A9" w14:textId="77777777" w:rsidTr="00622E05">
        <w:tc>
          <w:tcPr>
            <w:tcW w:w="3381"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8" w:type="dxa"/>
            <w:tcBorders>
              <w:top w:val="single" w:sz="18" w:space="0" w:color="auto"/>
            </w:tcBorders>
          </w:tcPr>
          <w:p w14:paraId="495EBCE8" w14:textId="07FAB678" w:rsidR="00A160B2" w:rsidRDefault="00622E05" w:rsidP="006C3150">
            <w:pPr>
              <w:pStyle w:val="Infotext"/>
              <w:rPr>
                <w:rFonts w:cs="Arial"/>
              </w:rPr>
            </w:pPr>
            <w:r>
              <w:rPr>
                <w:rFonts w:cs="Arial"/>
              </w:rPr>
              <w:t>26 January 2021</w:t>
            </w:r>
          </w:p>
        </w:tc>
      </w:tr>
      <w:tr w:rsidR="00622E05" w14:paraId="79B879D4" w14:textId="77777777" w:rsidTr="00622E05">
        <w:tc>
          <w:tcPr>
            <w:tcW w:w="3381" w:type="dxa"/>
          </w:tcPr>
          <w:p w14:paraId="5EBA2504" w14:textId="14BC2EC1" w:rsidR="00622E05" w:rsidRPr="00F92398" w:rsidRDefault="00622E05" w:rsidP="00622E05">
            <w:pPr>
              <w:pStyle w:val="Infotext"/>
              <w:rPr>
                <w:rFonts w:ascii="Arial Black" w:hAnsi="Arial Black" w:cs="Arial"/>
              </w:rPr>
            </w:pPr>
            <w:r w:rsidRPr="00F92398">
              <w:rPr>
                <w:rFonts w:ascii="Arial Black" w:hAnsi="Arial Black" w:cs="Arial"/>
              </w:rPr>
              <w:t>Subject:</w:t>
            </w:r>
          </w:p>
          <w:p w14:paraId="262AF561" w14:textId="77777777" w:rsidR="00622E05" w:rsidRPr="00F92398" w:rsidRDefault="00622E05" w:rsidP="00622E05">
            <w:pPr>
              <w:pStyle w:val="Infotext"/>
              <w:rPr>
                <w:rFonts w:ascii="Arial Black" w:hAnsi="Arial Black"/>
              </w:rPr>
            </w:pPr>
          </w:p>
        </w:tc>
        <w:tc>
          <w:tcPr>
            <w:tcW w:w="4928" w:type="dxa"/>
          </w:tcPr>
          <w:p w14:paraId="145CA133" w14:textId="77777777" w:rsidR="00622E05" w:rsidRPr="00A349C1" w:rsidRDefault="00622E05" w:rsidP="00622E05">
            <w:pPr>
              <w:rPr>
                <w:rFonts w:cs="Arial"/>
                <w:sz w:val="28"/>
              </w:rPr>
            </w:pPr>
            <w:r w:rsidRPr="00A349C1">
              <w:rPr>
                <w:rFonts w:cs="Arial"/>
                <w:sz w:val="28"/>
              </w:rPr>
              <w:t>Treasury Management Strategy Statement and Annual Investment Strategy: Treasury Management Outturn 2019/20 and Mid-year Review 2020/21</w:t>
            </w:r>
          </w:p>
          <w:p w14:paraId="5914456E" w14:textId="77777777" w:rsidR="00622E05" w:rsidRDefault="00622E05" w:rsidP="00622E05">
            <w:pPr>
              <w:pStyle w:val="Infotext"/>
              <w:rPr>
                <w:rFonts w:cs="Arial"/>
              </w:rPr>
            </w:pPr>
          </w:p>
        </w:tc>
      </w:tr>
      <w:tr w:rsidR="00622E05" w14:paraId="3A5E0F07" w14:textId="77777777" w:rsidTr="00622E05">
        <w:tc>
          <w:tcPr>
            <w:tcW w:w="3381" w:type="dxa"/>
          </w:tcPr>
          <w:p w14:paraId="3526B74C" w14:textId="77777777" w:rsidR="00622E05" w:rsidRPr="00F92398" w:rsidRDefault="00622E05" w:rsidP="00622E05">
            <w:pPr>
              <w:pStyle w:val="Infotext"/>
              <w:rPr>
                <w:rFonts w:ascii="Arial Black" w:hAnsi="Arial Black" w:cs="Arial"/>
              </w:rPr>
            </w:pPr>
            <w:r w:rsidRPr="00F92398">
              <w:rPr>
                <w:rFonts w:ascii="Arial Black" w:hAnsi="Arial Black" w:cs="Arial"/>
              </w:rPr>
              <w:t>Responsible Officer:</w:t>
            </w:r>
          </w:p>
          <w:p w14:paraId="2952AD10" w14:textId="77777777" w:rsidR="00622E05" w:rsidRPr="00F92398" w:rsidRDefault="00622E05" w:rsidP="00622E05">
            <w:pPr>
              <w:pStyle w:val="Infotext"/>
              <w:rPr>
                <w:rFonts w:ascii="Arial Black" w:hAnsi="Arial Black" w:cs="Arial"/>
              </w:rPr>
            </w:pPr>
          </w:p>
        </w:tc>
        <w:tc>
          <w:tcPr>
            <w:tcW w:w="4928" w:type="dxa"/>
          </w:tcPr>
          <w:p w14:paraId="40A0F081" w14:textId="77777777" w:rsidR="00622E05" w:rsidRDefault="00622E05" w:rsidP="00622E05">
            <w:pPr>
              <w:pStyle w:val="Infotext"/>
              <w:rPr>
                <w:rFonts w:cs="Arial"/>
              </w:rPr>
            </w:pPr>
            <w:r>
              <w:rPr>
                <w:rFonts w:cs="Arial"/>
              </w:rPr>
              <w:t xml:space="preserve">Dawn Calvert, Director of Finance and Assurance </w:t>
            </w:r>
          </w:p>
          <w:p w14:paraId="3CF266C9" w14:textId="77777777" w:rsidR="00622E05" w:rsidRDefault="00622E05" w:rsidP="00622E05">
            <w:pPr>
              <w:pStyle w:val="Infotext"/>
              <w:rPr>
                <w:rFonts w:cs="Arial"/>
              </w:rPr>
            </w:pPr>
          </w:p>
        </w:tc>
      </w:tr>
      <w:tr w:rsidR="00622E05" w14:paraId="7AFCAE74" w14:textId="77777777" w:rsidTr="00622E05">
        <w:tc>
          <w:tcPr>
            <w:tcW w:w="3381" w:type="dxa"/>
          </w:tcPr>
          <w:p w14:paraId="4573497F" w14:textId="77777777" w:rsidR="00622E05" w:rsidRPr="00F92398" w:rsidRDefault="00622E05" w:rsidP="00622E05">
            <w:pPr>
              <w:pStyle w:val="Infotext"/>
              <w:rPr>
                <w:rFonts w:ascii="Arial Black" w:hAnsi="Arial Black" w:cs="Arial"/>
              </w:rPr>
            </w:pPr>
            <w:r w:rsidRPr="00F92398">
              <w:rPr>
                <w:rFonts w:ascii="Arial Black" w:hAnsi="Arial Black" w:cs="Arial"/>
              </w:rPr>
              <w:t>Exempt:</w:t>
            </w:r>
          </w:p>
          <w:p w14:paraId="72D771B0" w14:textId="77777777" w:rsidR="00622E05" w:rsidRPr="00F92398" w:rsidRDefault="00622E05" w:rsidP="00622E05">
            <w:pPr>
              <w:pStyle w:val="Infotext"/>
              <w:rPr>
                <w:rFonts w:ascii="Arial Black" w:hAnsi="Arial Black" w:cs="Arial"/>
              </w:rPr>
            </w:pPr>
          </w:p>
        </w:tc>
        <w:tc>
          <w:tcPr>
            <w:tcW w:w="4928" w:type="dxa"/>
          </w:tcPr>
          <w:p w14:paraId="79374992" w14:textId="77777777" w:rsidR="00622E05" w:rsidRDefault="00622E05" w:rsidP="00622E05">
            <w:pPr>
              <w:pStyle w:val="Infotext"/>
              <w:rPr>
                <w:rFonts w:cs="Arial"/>
              </w:rPr>
            </w:pPr>
            <w:r>
              <w:rPr>
                <w:rFonts w:cs="Arial"/>
              </w:rPr>
              <w:t>No</w:t>
            </w:r>
          </w:p>
          <w:p w14:paraId="4C873B59" w14:textId="77777777" w:rsidR="00622E05" w:rsidRDefault="00622E05" w:rsidP="00622E05">
            <w:pPr>
              <w:pStyle w:val="Infotext"/>
              <w:rPr>
                <w:rFonts w:cs="Arial"/>
              </w:rPr>
            </w:pPr>
          </w:p>
        </w:tc>
      </w:tr>
      <w:tr w:rsidR="00622E05" w14:paraId="521D9222" w14:textId="77777777" w:rsidTr="00622E05">
        <w:tc>
          <w:tcPr>
            <w:tcW w:w="3381" w:type="dxa"/>
          </w:tcPr>
          <w:p w14:paraId="4ABD9246" w14:textId="77777777" w:rsidR="00622E05" w:rsidRDefault="00622E05" w:rsidP="00622E05">
            <w:pPr>
              <w:pStyle w:val="Infotext"/>
              <w:rPr>
                <w:rFonts w:ascii="Arial Black" w:hAnsi="Arial Black" w:cs="Arial"/>
              </w:rPr>
            </w:pPr>
            <w:r>
              <w:rPr>
                <w:rFonts w:ascii="Arial Black" w:hAnsi="Arial Black" w:cs="Arial"/>
              </w:rPr>
              <w:t>Wards affected:</w:t>
            </w:r>
          </w:p>
          <w:p w14:paraId="65A16444" w14:textId="77777777" w:rsidR="00622E05" w:rsidRPr="00F92398" w:rsidRDefault="00622E05" w:rsidP="00622E05">
            <w:pPr>
              <w:pStyle w:val="Infotext"/>
              <w:rPr>
                <w:rFonts w:ascii="Arial Black" w:hAnsi="Arial Black" w:cs="Arial"/>
              </w:rPr>
            </w:pPr>
          </w:p>
        </w:tc>
        <w:tc>
          <w:tcPr>
            <w:tcW w:w="4928" w:type="dxa"/>
          </w:tcPr>
          <w:p w14:paraId="6CD568AC" w14:textId="15F4270A" w:rsidR="00622E05" w:rsidRDefault="00622E05" w:rsidP="00622E05">
            <w:pPr>
              <w:pStyle w:val="Infotext"/>
            </w:pPr>
            <w:r>
              <w:rPr>
                <w:rFonts w:cs="Arial"/>
                <w:szCs w:val="24"/>
              </w:rPr>
              <w:t>All</w:t>
            </w:r>
          </w:p>
        </w:tc>
      </w:tr>
      <w:tr w:rsidR="00622E05" w14:paraId="7C35C184" w14:textId="77777777" w:rsidTr="00622E05">
        <w:tc>
          <w:tcPr>
            <w:tcW w:w="3381" w:type="dxa"/>
          </w:tcPr>
          <w:p w14:paraId="575B6BE7" w14:textId="77777777" w:rsidR="00622E05" w:rsidRPr="00F92398" w:rsidRDefault="00622E05" w:rsidP="00622E05">
            <w:pPr>
              <w:pStyle w:val="Infotext"/>
              <w:rPr>
                <w:rFonts w:ascii="Arial Black" w:hAnsi="Arial Black" w:cs="Arial"/>
              </w:rPr>
            </w:pPr>
            <w:r w:rsidRPr="00F92398">
              <w:rPr>
                <w:rFonts w:ascii="Arial Black" w:hAnsi="Arial Black" w:cs="Arial"/>
              </w:rPr>
              <w:t>Enclosures:</w:t>
            </w:r>
          </w:p>
          <w:p w14:paraId="69475841" w14:textId="77777777" w:rsidR="00622E05" w:rsidRPr="00F92398" w:rsidRDefault="00622E05" w:rsidP="00622E05">
            <w:pPr>
              <w:pStyle w:val="Infotext"/>
              <w:rPr>
                <w:rFonts w:ascii="Arial Black" w:hAnsi="Arial Black" w:cs="Arial"/>
              </w:rPr>
            </w:pPr>
          </w:p>
        </w:tc>
        <w:tc>
          <w:tcPr>
            <w:tcW w:w="4928" w:type="dxa"/>
          </w:tcPr>
          <w:p w14:paraId="10DD1E08" w14:textId="16530769" w:rsidR="00622E05" w:rsidRDefault="00622E05" w:rsidP="00622E05">
            <w:pPr>
              <w:pStyle w:val="Infotext"/>
            </w:pPr>
            <w:r>
              <w:t xml:space="preserve">Report to Cabinet on 21 January 2021 - </w:t>
            </w:r>
          </w:p>
          <w:p w14:paraId="0DD5DC45" w14:textId="77777777" w:rsidR="00622E05" w:rsidRPr="00A349C1" w:rsidRDefault="00622E05" w:rsidP="00622E05">
            <w:pPr>
              <w:rPr>
                <w:rFonts w:cs="Arial"/>
                <w:sz w:val="28"/>
              </w:rPr>
            </w:pPr>
            <w:r w:rsidRPr="00A349C1">
              <w:rPr>
                <w:rFonts w:cs="Arial"/>
                <w:sz w:val="28"/>
              </w:rPr>
              <w:t>Treasury Management Strategy Statement and Annual Investment Strategy: Treasury Management Outturn 2019/20 and Mid-year Review 2020/21</w:t>
            </w:r>
          </w:p>
          <w:p w14:paraId="4C232B02" w14:textId="528A5BEF" w:rsidR="00622E05" w:rsidRDefault="00622E05" w:rsidP="00622E05">
            <w:pPr>
              <w:pStyle w:val="Infotext"/>
            </w:pPr>
          </w:p>
        </w:tc>
      </w:tr>
    </w:tbl>
    <w:p w14:paraId="645A0DC1" w14:textId="77777777" w:rsidR="00622E05" w:rsidRDefault="00622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22E05">
        <w:trPr>
          <w:tblHeader/>
        </w:trPr>
        <w:tc>
          <w:tcPr>
            <w:tcW w:w="8309" w:type="dxa"/>
            <w:tcBorders>
              <w:top w:val="nil"/>
              <w:left w:val="nil"/>
              <w:bottom w:val="single" w:sz="4" w:space="0" w:color="auto"/>
              <w:right w:val="nil"/>
            </w:tcBorders>
          </w:tcPr>
          <w:p w14:paraId="47AF8288" w14:textId="77777777" w:rsidR="00A160B2" w:rsidRDefault="00A160B2" w:rsidP="003636A5">
            <w:pPr>
              <w:pStyle w:val="Heading2"/>
              <w:spacing w:before="0" w:after="240"/>
            </w:pPr>
            <w:r>
              <w:t>Section 1 – Summary and Recommendations</w:t>
            </w:r>
          </w:p>
        </w:tc>
      </w:tr>
      <w:tr w:rsidR="00A160B2" w14:paraId="281F4D12" w14:textId="77777777" w:rsidTr="00622E05">
        <w:trPr>
          <w:tblHeader/>
        </w:trPr>
        <w:tc>
          <w:tcPr>
            <w:tcW w:w="8309" w:type="dxa"/>
            <w:tcBorders>
              <w:left w:val="nil"/>
              <w:bottom w:val="nil"/>
              <w:right w:val="nil"/>
            </w:tcBorders>
          </w:tcPr>
          <w:p w14:paraId="41ADBBC0" w14:textId="1009A055" w:rsidR="00622E05" w:rsidRDefault="00622E05" w:rsidP="0066582A">
            <w:pPr>
              <w:ind w:hanging="567"/>
            </w:pPr>
            <w:r>
              <w:t xml:space="preserve">This </w:t>
            </w:r>
            <w:r w:rsidR="0066582A">
              <w:t xml:space="preserve">This </w:t>
            </w:r>
            <w:r w:rsidRPr="007E2266">
              <w:t xml:space="preserve">report sets out the mid-year review of </w:t>
            </w:r>
            <w:r>
              <w:t xml:space="preserve">Treasury Management activities for </w:t>
            </w:r>
            <w:r w:rsidRPr="007E2266">
              <w:t>20</w:t>
            </w:r>
            <w:r>
              <w:t>20/21 and the 2019/20 Outturn position.</w:t>
            </w:r>
          </w:p>
          <w:p w14:paraId="4108982E" w14:textId="77777777" w:rsidR="00622E05" w:rsidRDefault="00622E05" w:rsidP="00622E05">
            <w:pPr>
              <w:ind w:hanging="567"/>
              <w:jc w:val="both"/>
            </w:pPr>
          </w:p>
          <w:p w14:paraId="01C30371" w14:textId="4C201064" w:rsidR="00622E05" w:rsidRDefault="00622E05" w:rsidP="00622E05">
            <w:pPr>
              <w:autoSpaceDE w:val="0"/>
              <w:autoSpaceDN w:val="0"/>
              <w:adjustRightInd w:val="0"/>
              <w:rPr>
                <w:sz w:val="23"/>
                <w:szCs w:val="23"/>
              </w:rPr>
            </w:pPr>
            <w:r w:rsidRPr="00830502">
              <w:rPr>
                <w:szCs w:val="24"/>
              </w:rPr>
              <w:t xml:space="preserve">Cabinet considered this report on </w:t>
            </w:r>
            <w:r>
              <w:rPr>
                <w:szCs w:val="24"/>
              </w:rPr>
              <w:t>T</w:t>
            </w:r>
            <w:r w:rsidRPr="00830502">
              <w:rPr>
                <w:szCs w:val="24"/>
              </w:rPr>
              <w:t xml:space="preserve">reasury </w:t>
            </w:r>
            <w:r>
              <w:rPr>
                <w:szCs w:val="24"/>
              </w:rPr>
              <w:t>Management activities</w:t>
            </w:r>
            <w:r w:rsidRPr="00830502">
              <w:rPr>
                <w:szCs w:val="24"/>
              </w:rPr>
              <w:t xml:space="preserve"> </w:t>
            </w:r>
            <w:r>
              <w:rPr>
                <w:szCs w:val="24"/>
              </w:rPr>
              <w:t xml:space="preserve">on 21 January </w:t>
            </w:r>
            <w:r w:rsidRPr="0018236F">
              <w:rPr>
                <w:szCs w:val="24"/>
              </w:rPr>
              <w:t>2021 and referred it to the Governance, Audit, Risk Management and Standards Committee for review</w:t>
            </w:r>
            <w:r w:rsidRPr="0018236F">
              <w:rPr>
                <w:sz w:val="23"/>
                <w:szCs w:val="23"/>
              </w:rPr>
              <w:t>.</w:t>
            </w:r>
          </w:p>
          <w:p w14:paraId="73705FC6" w14:textId="77777777" w:rsidR="00622E05" w:rsidRPr="0066582A" w:rsidRDefault="00622E05" w:rsidP="00622E05">
            <w:pPr>
              <w:pStyle w:val="Heading2"/>
              <w:spacing w:before="240"/>
              <w:rPr>
                <w:rFonts w:ascii="Arial Bold" w:hAnsi="Arial Bold"/>
                <w:b/>
                <w:sz w:val="28"/>
              </w:rPr>
            </w:pPr>
            <w:r w:rsidRPr="0066582A">
              <w:rPr>
                <w:rFonts w:ascii="Arial Bold" w:hAnsi="Arial Bold"/>
                <w:b/>
                <w:sz w:val="28"/>
              </w:rPr>
              <w:t xml:space="preserve">Recommendations: </w:t>
            </w:r>
          </w:p>
          <w:p w14:paraId="714CBDEE" w14:textId="39172E3C" w:rsidR="00A160B2" w:rsidRDefault="00622E05" w:rsidP="00622E05">
            <w:r w:rsidRPr="00251454">
              <w:rPr>
                <w:rFonts w:cs="Arial"/>
              </w:rPr>
              <w:t xml:space="preserve">The Committee is asked to </w:t>
            </w:r>
            <w:r>
              <w:rPr>
                <w:rFonts w:cs="Arial"/>
              </w:rPr>
              <w:t>r</w:t>
            </w:r>
            <w:r>
              <w:rPr>
                <w:rFonts w:cs="Arial"/>
                <w:szCs w:val="24"/>
                <w:lang w:eastAsia="en-GB"/>
              </w:rPr>
              <w:t>eview the mid-year position for treasury management activities for 2020/21 and the 2019/20 Outturn position.</w:t>
            </w:r>
          </w:p>
        </w:tc>
      </w:tr>
    </w:tbl>
    <w:p w14:paraId="53DC7DE2" w14:textId="77777777" w:rsidR="002A2389" w:rsidRDefault="002A2389" w:rsidP="00A160B2">
      <w:pPr>
        <w:pStyle w:val="Heading2"/>
      </w:pPr>
      <w:r>
        <w:lastRenderedPageBreak/>
        <w:t>Section 2 – Report</w:t>
      </w:r>
    </w:p>
    <w:p w14:paraId="0945A8E5" w14:textId="77777777" w:rsidR="0066582A" w:rsidRDefault="0066582A" w:rsidP="0066582A">
      <w:pPr>
        <w:spacing w:before="240"/>
        <w:rPr>
          <w:sz w:val="28"/>
        </w:rPr>
      </w:pPr>
      <w:r>
        <w:rPr>
          <w:sz w:val="28"/>
        </w:rPr>
        <w:t xml:space="preserve">Background </w:t>
      </w:r>
    </w:p>
    <w:p w14:paraId="506D0BB1" w14:textId="77777777" w:rsidR="0066582A" w:rsidRDefault="0066582A" w:rsidP="0066582A"/>
    <w:p w14:paraId="02666F7A" w14:textId="77777777" w:rsidR="0066582A" w:rsidRPr="00750E19" w:rsidRDefault="0066582A" w:rsidP="003636A5">
      <w:pPr>
        <w:numPr>
          <w:ilvl w:val="0"/>
          <w:numId w:val="16"/>
        </w:numPr>
        <w:rPr>
          <w:rFonts w:cs="Arial"/>
          <w:szCs w:val="24"/>
        </w:rPr>
      </w:pPr>
      <w:r w:rsidRPr="00750E19">
        <w:rPr>
          <w:rFonts w:cs="Arial"/>
          <w:szCs w:val="24"/>
        </w:rPr>
        <w:t xml:space="preserve">The enclosed report sets out the </w:t>
      </w:r>
      <w:r w:rsidRPr="00750E19">
        <w:rPr>
          <w:rFonts w:cs="Arial"/>
          <w:szCs w:val="24"/>
          <w:lang w:eastAsia="en-GB"/>
        </w:rPr>
        <w:t>mid-year position for treasury management activities for 2020/21 and the 2019/20 Outturn position. The report on the Outturn would usually go to cabinet in June</w:t>
      </w:r>
      <w:r>
        <w:rPr>
          <w:rFonts w:cs="Arial"/>
          <w:szCs w:val="24"/>
          <w:lang w:eastAsia="en-GB"/>
        </w:rPr>
        <w:t xml:space="preserve">, </w:t>
      </w:r>
      <w:r w:rsidRPr="00750E19">
        <w:rPr>
          <w:rFonts w:cs="Arial"/>
          <w:szCs w:val="24"/>
          <w:lang w:eastAsia="en-GB"/>
        </w:rPr>
        <w:t xml:space="preserve">with the midyear position going to Cabinet in either December or January.  This year the 2 reports have been combined but will </w:t>
      </w:r>
      <w:proofErr w:type="gramStart"/>
      <w:r w:rsidRPr="00750E19">
        <w:rPr>
          <w:rFonts w:cs="Arial"/>
          <w:szCs w:val="24"/>
          <w:lang w:eastAsia="en-GB"/>
        </w:rPr>
        <w:t>revert back</w:t>
      </w:r>
      <w:proofErr w:type="gramEnd"/>
      <w:r w:rsidRPr="00750E19">
        <w:rPr>
          <w:rFonts w:cs="Arial"/>
          <w:szCs w:val="24"/>
          <w:lang w:eastAsia="en-GB"/>
        </w:rPr>
        <w:t xml:space="preserve"> to separate reports next year.  </w:t>
      </w:r>
      <w:r w:rsidRPr="00750E19">
        <w:rPr>
          <w:rFonts w:cs="Arial"/>
          <w:szCs w:val="24"/>
        </w:rPr>
        <w:t xml:space="preserve"> </w:t>
      </w:r>
    </w:p>
    <w:p w14:paraId="2ECF5D8F" w14:textId="77777777" w:rsidR="0066582A" w:rsidRPr="00D35C59" w:rsidRDefault="0066582A" w:rsidP="0066582A">
      <w:pPr>
        <w:rPr>
          <w:rFonts w:cs="Arial"/>
          <w:szCs w:val="24"/>
        </w:rPr>
      </w:pPr>
    </w:p>
    <w:p w14:paraId="6445004E" w14:textId="77777777" w:rsidR="0066582A" w:rsidRDefault="0066582A" w:rsidP="003636A5">
      <w:pPr>
        <w:numPr>
          <w:ilvl w:val="0"/>
          <w:numId w:val="16"/>
        </w:numPr>
        <w:rPr>
          <w:rFonts w:cs="Arial"/>
          <w:szCs w:val="24"/>
          <w:lang w:val="en-US"/>
        </w:rPr>
      </w:pPr>
      <w:r>
        <w:rPr>
          <w:rFonts w:cs="Arial"/>
          <w:szCs w:val="24"/>
          <w:lang w:val="en-US"/>
        </w:rPr>
        <w:t>In addition to consideration of the January cabinet report, Committee are also being advised of a proposed change in the management of the Council’s Treasury Management activities to take effect from the 1</w:t>
      </w:r>
      <w:r w:rsidRPr="00750E19">
        <w:rPr>
          <w:rFonts w:cs="Arial"/>
          <w:szCs w:val="24"/>
          <w:vertAlign w:val="superscript"/>
          <w:lang w:val="en-US"/>
        </w:rPr>
        <w:t>st</w:t>
      </w:r>
      <w:r>
        <w:rPr>
          <w:rFonts w:cs="Arial"/>
          <w:szCs w:val="24"/>
          <w:lang w:val="en-US"/>
        </w:rPr>
        <w:t xml:space="preserve"> April 2021. Due to the challenges of recruiting to Treasury Management roles, the Council is exploring the option of signing up to the GLA’s Treasury Management Service.  In terms of timing it would be easier to sign up to any new service from the start of the financial year, hence the current process is to update the Chair and Vice Chair of the GARMS Committee in February and then report the arrangement to Cabinet in March and GARMS in April. </w:t>
      </w:r>
    </w:p>
    <w:p w14:paraId="46299A82" w14:textId="77777777" w:rsidR="0066582A" w:rsidRPr="00750E19" w:rsidRDefault="0066582A" w:rsidP="0066582A">
      <w:pPr>
        <w:ind w:left="720"/>
        <w:rPr>
          <w:rFonts w:cs="Arial"/>
          <w:szCs w:val="24"/>
          <w:lang w:val="en-US"/>
        </w:rPr>
      </w:pPr>
    </w:p>
    <w:p w14:paraId="77FE6F5E" w14:textId="77777777" w:rsidR="0066582A" w:rsidRDefault="0066582A" w:rsidP="0066582A">
      <w:pPr>
        <w:pStyle w:val="Heading2"/>
        <w:spacing w:before="240"/>
      </w:pPr>
      <w:r>
        <w:t>Legal Implications</w:t>
      </w:r>
    </w:p>
    <w:p w14:paraId="57ED9F07" w14:textId="77777777" w:rsidR="0066582A" w:rsidRPr="0066582A" w:rsidRDefault="0066582A" w:rsidP="0066582A">
      <w:pPr>
        <w:pStyle w:val="Heading4"/>
        <w:numPr>
          <w:ilvl w:val="0"/>
          <w:numId w:val="16"/>
        </w:numPr>
        <w:spacing w:before="240" w:after="0"/>
        <w:rPr>
          <w:b w:val="0"/>
          <w:sz w:val="24"/>
        </w:rPr>
      </w:pPr>
      <w:r w:rsidRPr="0066582A">
        <w:rPr>
          <w:b w:val="0"/>
          <w:sz w:val="24"/>
        </w:rPr>
        <w:t xml:space="preserve">See attached cabinet report. </w:t>
      </w:r>
    </w:p>
    <w:p w14:paraId="17C26BF7" w14:textId="7030FFE7" w:rsidR="0066582A" w:rsidRDefault="0066582A" w:rsidP="0066582A">
      <w:pPr>
        <w:pStyle w:val="Heading2"/>
      </w:pPr>
      <w:r>
        <w:t>Financial Implications</w:t>
      </w:r>
    </w:p>
    <w:p w14:paraId="18B4B1A2" w14:textId="77777777" w:rsidR="0066582A" w:rsidRPr="00750E19" w:rsidRDefault="0066582A" w:rsidP="0066582A"/>
    <w:p w14:paraId="670F5197" w14:textId="77777777" w:rsidR="0066582A" w:rsidRPr="0066582A" w:rsidRDefault="0066582A" w:rsidP="0066582A">
      <w:pPr>
        <w:pStyle w:val="Heading4"/>
        <w:numPr>
          <w:ilvl w:val="0"/>
          <w:numId w:val="16"/>
        </w:numPr>
        <w:spacing w:after="0"/>
        <w:rPr>
          <w:b w:val="0"/>
          <w:sz w:val="24"/>
        </w:rPr>
      </w:pPr>
      <w:r w:rsidRPr="0066582A">
        <w:rPr>
          <w:b w:val="0"/>
          <w:sz w:val="24"/>
        </w:rPr>
        <w:t xml:space="preserve"> See attached Cabinet Report. </w:t>
      </w:r>
    </w:p>
    <w:p w14:paraId="47462C05" w14:textId="77777777" w:rsidR="0066582A" w:rsidRDefault="0066582A" w:rsidP="0066582A">
      <w:pPr>
        <w:pStyle w:val="Heading2"/>
        <w:spacing w:before="240"/>
      </w:pPr>
      <w:r>
        <w:t>Risk Management Implications</w:t>
      </w:r>
    </w:p>
    <w:p w14:paraId="6A1397D3" w14:textId="77777777" w:rsidR="0066582A" w:rsidRDefault="0066582A" w:rsidP="0066582A">
      <w:pPr>
        <w:pStyle w:val="Heading1"/>
        <w:rPr>
          <w:b w:val="0"/>
          <w:sz w:val="24"/>
          <w:szCs w:val="24"/>
        </w:rPr>
      </w:pPr>
    </w:p>
    <w:p w14:paraId="0CB47BF5" w14:textId="77777777" w:rsidR="0066582A" w:rsidRDefault="0066582A" w:rsidP="0066582A">
      <w:pPr>
        <w:pStyle w:val="infotext0"/>
        <w:numPr>
          <w:ilvl w:val="0"/>
          <w:numId w:val="16"/>
        </w:numPr>
        <w:spacing w:before="0" w:beforeAutospacing="0" w:after="0" w:afterAutospacing="0"/>
        <w:ind w:right="81"/>
        <w:rPr>
          <w:rFonts w:ascii="Arial" w:hAnsi="Arial" w:cs="Arial"/>
        </w:rPr>
      </w:pPr>
      <w:r>
        <w:rPr>
          <w:rFonts w:ascii="Arial" w:hAnsi="Arial" w:cs="Arial"/>
        </w:rPr>
        <w:t>See attached cabinet report.</w:t>
      </w:r>
    </w:p>
    <w:p w14:paraId="4E977DC3" w14:textId="77777777" w:rsidR="0066582A" w:rsidRPr="004A2543" w:rsidRDefault="0066582A" w:rsidP="00886E38">
      <w:pPr>
        <w:pStyle w:val="Heading2"/>
        <w:keepNext/>
        <w:spacing w:before="240"/>
      </w:pPr>
      <w:r w:rsidRPr="004A2543">
        <w:t>Equalities implications</w:t>
      </w:r>
      <w:r>
        <w:t xml:space="preserve"> / Public Sector Equality Duty </w:t>
      </w:r>
    </w:p>
    <w:p w14:paraId="24C07A8F" w14:textId="77777777" w:rsidR="0066582A" w:rsidRDefault="0066582A" w:rsidP="0066582A">
      <w:pPr>
        <w:keepNext/>
      </w:pPr>
    </w:p>
    <w:p w14:paraId="072A8CD4" w14:textId="77777777" w:rsidR="0066582A" w:rsidRPr="00013FBB" w:rsidRDefault="0066582A" w:rsidP="0066582A">
      <w:pPr>
        <w:pStyle w:val="ListParagraph"/>
        <w:numPr>
          <w:ilvl w:val="0"/>
          <w:numId w:val="16"/>
        </w:numPr>
        <w:rPr>
          <w:sz w:val="24"/>
          <w:szCs w:val="24"/>
        </w:rPr>
      </w:pPr>
      <w:r>
        <w:rPr>
          <w:sz w:val="24"/>
          <w:szCs w:val="24"/>
        </w:rPr>
        <w:t>See attached cabinet report.</w:t>
      </w:r>
      <w:r w:rsidRPr="00013FBB">
        <w:rPr>
          <w:sz w:val="24"/>
          <w:szCs w:val="24"/>
        </w:rPr>
        <w:t xml:space="preserve"> </w:t>
      </w:r>
    </w:p>
    <w:p w14:paraId="13F1DF65" w14:textId="77777777" w:rsidR="0066582A" w:rsidRPr="00CD57D8" w:rsidRDefault="0066582A" w:rsidP="00886E38">
      <w:pPr>
        <w:pStyle w:val="Heading2"/>
        <w:spacing w:before="240"/>
      </w:pPr>
      <w:r>
        <w:t xml:space="preserve">Council </w:t>
      </w:r>
      <w:r w:rsidRPr="00CD57D8">
        <w:t>Priorities</w:t>
      </w:r>
    </w:p>
    <w:p w14:paraId="4113D978" w14:textId="77777777" w:rsidR="0066582A" w:rsidRPr="00CD57D8" w:rsidRDefault="0066582A" w:rsidP="0066582A">
      <w:pPr>
        <w:keepNext/>
        <w:ind w:right="144"/>
        <w:rPr>
          <w:rFonts w:cs="Arial"/>
          <w:szCs w:val="24"/>
          <w:lang w:val="en-US"/>
        </w:rPr>
      </w:pPr>
    </w:p>
    <w:p w14:paraId="318A97C7" w14:textId="77777777" w:rsidR="0066582A" w:rsidRPr="00750E19" w:rsidRDefault="0066582A" w:rsidP="0066582A">
      <w:pPr>
        <w:pStyle w:val="ListParagraph"/>
        <w:numPr>
          <w:ilvl w:val="0"/>
          <w:numId w:val="16"/>
        </w:numPr>
        <w:autoSpaceDE w:val="0"/>
        <w:autoSpaceDN w:val="0"/>
        <w:adjustRightInd w:val="0"/>
        <w:rPr>
          <w:szCs w:val="24"/>
        </w:rPr>
      </w:pPr>
      <w:r w:rsidRPr="00750E19">
        <w:rPr>
          <w:sz w:val="24"/>
          <w:szCs w:val="24"/>
        </w:rPr>
        <w:t xml:space="preserve">See attached cabinet report. </w:t>
      </w:r>
    </w:p>
    <w:p w14:paraId="223995EF" w14:textId="77777777" w:rsidR="003636A5" w:rsidRDefault="003636A5">
      <w:pPr>
        <w:rPr>
          <w:rFonts w:ascii="Arial Black" w:hAnsi="Arial Black" w:cs="Arial"/>
          <w:bCs/>
          <w:sz w:val="32"/>
          <w:szCs w:val="32"/>
        </w:rPr>
      </w:pPr>
      <w:r>
        <w:br w:type="page"/>
      </w:r>
    </w:p>
    <w:p w14:paraId="11BF41CC" w14:textId="721ECA08" w:rsidR="002A2389" w:rsidRDefault="002A2389" w:rsidP="00912904">
      <w:pPr>
        <w:pStyle w:val="Heading2"/>
      </w:pPr>
      <w:r>
        <w:lastRenderedPageBreak/>
        <w:t>Section 3 - Statutory Officer Clearance</w:t>
      </w:r>
    </w:p>
    <w:p w14:paraId="077143F8" w14:textId="77777777" w:rsidR="002A2389" w:rsidRDefault="002A2389" w:rsidP="008D1750">
      <w:pPr>
        <w:keepNext/>
        <w:rPr>
          <w:rFonts w:cs="Arial"/>
        </w:rPr>
      </w:pPr>
    </w:p>
    <w:p w14:paraId="1F493ADE" w14:textId="27AC7AF5" w:rsidR="00912904" w:rsidRPr="00A66326" w:rsidRDefault="00912904" w:rsidP="00912904">
      <w:pPr>
        <w:rPr>
          <w:sz w:val="28"/>
        </w:rPr>
      </w:pPr>
      <w:r w:rsidRPr="00A66326">
        <w:rPr>
          <w:b/>
          <w:sz w:val="28"/>
        </w:rPr>
        <w:t xml:space="preserve">Statutory Officer:  </w:t>
      </w:r>
      <w:r w:rsidR="008A3F53" w:rsidRPr="007C3D35">
        <w:rPr>
          <w:b/>
          <w:sz w:val="28"/>
        </w:rPr>
        <w:t>Dawn Calvert</w:t>
      </w:r>
    </w:p>
    <w:p w14:paraId="57640BD9" w14:textId="75DCAD47" w:rsidR="00912904" w:rsidRPr="00A66326" w:rsidRDefault="00912904" w:rsidP="00912904">
      <w:r w:rsidRPr="00A66326">
        <w:t>Signed on by the Chief Financial Officer</w:t>
      </w:r>
    </w:p>
    <w:p w14:paraId="650DA37B" w14:textId="77777777" w:rsidR="00912904" w:rsidRPr="00A66326" w:rsidRDefault="00912904" w:rsidP="00912904">
      <w:pPr>
        <w:rPr>
          <w:sz w:val="28"/>
        </w:rPr>
      </w:pPr>
    </w:p>
    <w:p w14:paraId="5745A2E3" w14:textId="78681DE3" w:rsidR="00912904" w:rsidRPr="00A66326" w:rsidRDefault="00912904" w:rsidP="00912904">
      <w:pPr>
        <w:spacing w:after="480"/>
        <w:rPr>
          <w:sz w:val="28"/>
        </w:rPr>
      </w:pPr>
      <w:r w:rsidRPr="00A66326">
        <w:rPr>
          <w:b/>
          <w:sz w:val="28"/>
        </w:rPr>
        <w:t xml:space="preserve">Date:  </w:t>
      </w:r>
      <w:r w:rsidR="008A3F53" w:rsidRPr="008A3F53">
        <w:rPr>
          <w:bCs/>
          <w:sz w:val="28"/>
        </w:rPr>
        <w:t>18 January 2021</w:t>
      </w:r>
    </w:p>
    <w:p w14:paraId="2586CC50" w14:textId="718B5962" w:rsidR="00912904" w:rsidRPr="00A66326" w:rsidRDefault="00912904" w:rsidP="00912904">
      <w:pPr>
        <w:rPr>
          <w:sz w:val="28"/>
        </w:rPr>
      </w:pPr>
      <w:r w:rsidRPr="00A66326">
        <w:rPr>
          <w:b/>
          <w:sz w:val="28"/>
        </w:rPr>
        <w:t xml:space="preserve">Statutory Officer:  </w:t>
      </w:r>
      <w:r w:rsidR="00712ED7" w:rsidRPr="007C3D35">
        <w:rPr>
          <w:b/>
          <w:sz w:val="28"/>
        </w:rPr>
        <w:t xml:space="preserve">Chris </w:t>
      </w:r>
      <w:proofErr w:type="spellStart"/>
      <w:r w:rsidR="00712ED7" w:rsidRPr="007C3D35">
        <w:rPr>
          <w:b/>
          <w:sz w:val="28"/>
        </w:rPr>
        <w:t>Cuckney</w:t>
      </w:r>
      <w:proofErr w:type="spellEnd"/>
    </w:p>
    <w:p w14:paraId="3F58D77A" w14:textId="2DC5FB61" w:rsidR="00912904" w:rsidRPr="00A66326" w:rsidRDefault="00912904" w:rsidP="00912904">
      <w:r w:rsidRPr="00A66326">
        <w:t>Signed on behalf of the Monitoring Officer</w:t>
      </w:r>
    </w:p>
    <w:p w14:paraId="52AD6B43" w14:textId="77777777" w:rsidR="00912904" w:rsidRPr="00A66326" w:rsidRDefault="00912904" w:rsidP="00912904">
      <w:pPr>
        <w:rPr>
          <w:sz w:val="28"/>
        </w:rPr>
      </w:pPr>
    </w:p>
    <w:p w14:paraId="61F8C7E6" w14:textId="554D6760" w:rsidR="00912904" w:rsidRPr="003313EA" w:rsidRDefault="00912904" w:rsidP="00912904">
      <w:pPr>
        <w:spacing w:after="480"/>
        <w:rPr>
          <w:sz w:val="28"/>
        </w:rPr>
      </w:pPr>
      <w:r w:rsidRPr="00A66326">
        <w:rPr>
          <w:b/>
          <w:sz w:val="28"/>
        </w:rPr>
        <w:t>Date:</w:t>
      </w:r>
      <w:r w:rsidR="00712ED7">
        <w:rPr>
          <w:b/>
          <w:sz w:val="28"/>
        </w:rPr>
        <w:t xml:space="preserve">  </w:t>
      </w:r>
      <w:r w:rsidR="00712ED7" w:rsidRPr="00712ED7">
        <w:rPr>
          <w:bCs/>
          <w:sz w:val="28"/>
        </w:rPr>
        <w:t>18 January 2021</w:t>
      </w:r>
      <w:r w:rsidR="00712ED7">
        <w:rPr>
          <w:b/>
          <w:sz w:val="28"/>
        </w:rPr>
        <w:t xml:space="preserve"> </w:t>
      </w:r>
      <w:r w:rsidRPr="00A66326">
        <w:rPr>
          <w:b/>
          <w:sz w:val="28"/>
        </w:rPr>
        <w:t xml:space="preserve">  </w:t>
      </w:r>
    </w:p>
    <w:p w14:paraId="2019A53D" w14:textId="12F7CFBE" w:rsidR="00912904" w:rsidRPr="00A66326" w:rsidRDefault="004A4A1D" w:rsidP="00912904">
      <w:pPr>
        <w:rPr>
          <w:sz w:val="28"/>
        </w:rPr>
      </w:pPr>
      <w:r>
        <w:rPr>
          <w:b/>
          <w:sz w:val="28"/>
        </w:rPr>
        <w:t>Chief</w:t>
      </w:r>
      <w:r w:rsidR="00912904" w:rsidRPr="00A66326">
        <w:rPr>
          <w:b/>
          <w:sz w:val="28"/>
        </w:rPr>
        <w:t xml:space="preserve"> Officer:  </w:t>
      </w:r>
      <w:r w:rsidR="00825DE9" w:rsidRPr="007C3D35">
        <w:rPr>
          <w:b/>
          <w:sz w:val="28"/>
        </w:rPr>
        <w:t>Charlie Stewart</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47AC3A01" w:rsidR="00912904" w:rsidRPr="00A66326" w:rsidRDefault="00912904" w:rsidP="00912904">
      <w:pPr>
        <w:spacing w:after="480"/>
        <w:rPr>
          <w:sz w:val="28"/>
        </w:rPr>
      </w:pPr>
      <w:r w:rsidRPr="00A66326">
        <w:rPr>
          <w:b/>
          <w:sz w:val="28"/>
        </w:rPr>
        <w:t xml:space="preserve">Date:  </w:t>
      </w:r>
      <w:r w:rsidR="00825DE9" w:rsidRPr="00825DE9">
        <w:rPr>
          <w:bCs/>
          <w:sz w:val="28"/>
        </w:rPr>
        <w:t>18 January 2021</w:t>
      </w:r>
    </w:p>
    <w:p w14:paraId="686CE5D8" w14:textId="77777777" w:rsidR="00912904" w:rsidRPr="00435B5D" w:rsidRDefault="00912904" w:rsidP="00912904">
      <w:pPr>
        <w:pStyle w:val="Heading2"/>
        <w:spacing w:after="240"/>
      </w:pPr>
      <w:r>
        <w:t>Mandatory Checks</w:t>
      </w:r>
    </w:p>
    <w:p w14:paraId="34BA8136" w14:textId="3597905E" w:rsidR="00912904" w:rsidRPr="00E90AFF" w:rsidRDefault="00912904" w:rsidP="007C3D35">
      <w:pPr>
        <w:pStyle w:val="Heading3"/>
        <w:ind w:left="0" w:firstLine="0"/>
        <w:jc w:val="left"/>
        <w:rPr>
          <w:sz w:val="28"/>
        </w:rPr>
      </w:pPr>
      <w:r w:rsidRPr="00E90AFF">
        <w:rPr>
          <w:sz w:val="28"/>
        </w:rPr>
        <w:t xml:space="preserve">Ward Councillors notified: NO, as it impacts on all Wards </w:t>
      </w:r>
    </w:p>
    <w:p w14:paraId="629F8205" w14:textId="77777777" w:rsidR="002A2389" w:rsidRDefault="002A2389" w:rsidP="00912904">
      <w:pPr>
        <w:pStyle w:val="Heading2"/>
        <w:keepNext/>
        <w:spacing w:after="240"/>
      </w:pPr>
      <w:r>
        <w:t>Section 4 - Contact Details and Background Papers</w:t>
      </w:r>
    </w:p>
    <w:p w14:paraId="3576C6D5" w14:textId="77777777" w:rsidR="007C3D35" w:rsidRDefault="007C3D35" w:rsidP="007C3D35">
      <w:pPr>
        <w:pStyle w:val="Infotext"/>
        <w:rPr>
          <w:sz w:val="24"/>
          <w:szCs w:val="24"/>
        </w:rPr>
      </w:pPr>
      <w:r w:rsidRPr="00D914D2">
        <w:rPr>
          <w:b/>
        </w:rPr>
        <w:t>Contact:</w:t>
      </w:r>
      <w:r>
        <w:t xml:space="preserve">  Dawn Calvert, Director of Finance and Assurance</w:t>
      </w:r>
      <w:r>
        <w:rPr>
          <w:sz w:val="24"/>
          <w:szCs w:val="24"/>
        </w:rPr>
        <w:t xml:space="preserve"> </w:t>
      </w:r>
    </w:p>
    <w:p w14:paraId="2DA7119D" w14:textId="04941ECB" w:rsidR="007C3D35" w:rsidRPr="00056E5F" w:rsidRDefault="007C3D35" w:rsidP="007C3D35">
      <w:pPr>
        <w:pStyle w:val="Infotext"/>
        <w:rPr>
          <w:sz w:val="24"/>
          <w:szCs w:val="24"/>
        </w:rPr>
      </w:pPr>
      <w:r>
        <w:rPr>
          <w:sz w:val="24"/>
          <w:szCs w:val="24"/>
        </w:rPr>
        <w:t xml:space="preserve">E-mail: </w:t>
      </w:r>
      <w:hyperlink r:id="rId8" w:history="1">
        <w:r w:rsidRPr="00A23ADD">
          <w:rPr>
            <w:rStyle w:val="Hyperlink"/>
            <w:sz w:val="24"/>
            <w:szCs w:val="24"/>
          </w:rPr>
          <w:t>dawn.calvert@harrow.gov.uk</w:t>
        </w:r>
      </w:hyperlink>
      <w:r>
        <w:rPr>
          <w:sz w:val="24"/>
          <w:szCs w:val="24"/>
        </w:rPr>
        <w:t xml:space="preserve"> </w:t>
      </w:r>
    </w:p>
    <w:p w14:paraId="7D5B766B" w14:textId="77777777" w:rsidR="007C3D35" w:rsidRDefault="007C3D35" w:rsidP="007C3D35"/>
    <w:p w14:paraId="38DAE487" w14:textId="77777777" w:rsidR="007C3D35" w:rsidRDefault="007C3D35" w:rsidP="007C3D35"/>
    <w:p w14:paraId="407DDA0C" w14:textId="77777777" w:rsidR="007C3D35" w:rsidRDefault="007C3D35" w:rsidP="007C3D35">
      <w:pPr>
        <w:pStyle w:val="Infotext"/>
      </w:pPr>
      <w:r w:rsidRPr="00D914D2">
        <w:rPr>
          <w:b/>
        </w:rPr>
        <w:t>Background Papers</w:t>
      </w:r>
      <w:r>
        <w:t xml:space="preserve">:  </w:t>
      </w:r>
      <w:r w:rsidRPr="00056E5F">
        <w:rPr>
          <w:sz w:val="24"/>
          <w:szCs w:val="24"/>
        </w:rPr>
        <w:t xml:space="preserve">None </w:t>
      </w:r>
    </w:p>
    <w:p w14:paraId="695B009D" w14:textId="77777777" w:rsidR="002A2389" w:rsidRDefault="002A2389"/>
    <w:sectPr w:rsidR="002A2389" w:rsidSect="007C3D35">
      <w:type w:val="continuous"/>
      <w:pgSz w:w="11909" w:h="16834" w:code="9"/>
      <w:pgMar w:top="1008" w:right="1800" w:bottom="864"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85D5C"/>
    <w:multiLevelType w:val="hybridMultilevel"/>
    <w:tmpl w:val="0734BF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2"/>
  </w:num>
  <w:num w:numId="11">
    <w:abstractNumId w:val="15"/>
  </w:num>
  <w:num w:numId="12">
    <w:abstractNumId w:val="11"/>
  </w:num>
  <w:num w:numId="13">
    <w:abstractNumId w:val="2"/>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36A5"/>
    <w:rsid w:val="00365D29"/>
    <w:rsid w:val="00374F22"/>
    <w:rsid w:val="003D2FFE"/>
    <w:rsid w:val="00400032"/>
    <w:rsid w:val="0042394B"/>
    <w:rsid w:val="00473B08"/>
    <w:rsid w:val="00474B5F"/>
    <w:rsid w:val="004A3CE6"/>
    <w:rsid w:val="004A4A1D"/>
    <w:rsid w:val="004B2C9D"/>
    <w:rsid w:val="004B4A47"/>
    <w:rsid w:val="004E667D"/>
    <w:rsid w:val="004E6AF9"/>
    <w:rsid w:val="005031DF"/>
    <w:rsid w:val="0055362E"/>
    <w:rsid w:val="00597314"/>
    <w:rsid w:val="005A61AF"/>
    <w:rsid w:val="005D0886"/>
    <w:rsid w:val="005E384D"/>
    <w:rsid w:val="005F2181"/>
    <w:rsid w:val="005F724B"/>
    <w:rsid w:val="00622E05"/>
    <w:rsid w:val="00625DFF"/>
    <w:rsid w:val="0063072B"/>
    <w:rsid w:val="00662891"/>
    <w:rsid w:val="006628B7"/>
    <w:rsid w:val="0066582A"/>
    <w:rsid w:val="00675FCB"/>
    <w:rsid w:val="006C3914"/>
    <w:rsid w:val="006D3648"/>
    <w:rsid w:val="00712ED7"/>
    <w:rsid w:val="0074184E"/>
    <w:rsid w:val="00743829"/>
    <w:rsid w:val="00755F8D"/>
    <w:rsid w:val="00796503"/>
    <w:rsid w:val="007C3D35"/>
    <w:rsid w:val="007D2BDA"/>
    <w:rsid w:val="007D56C8"/>
    <w:rsid w:val="007E3934"/>
    <w:rsid w:val="007E7303"/>
    <w:rsid w:val="008212A0"/>
    <w:rsid w:val="00825DE9"/>
    <w:rsid w:val="00837F53"/>
    <w:rsid w:val="00886E38"/>
    <w:rsid w:val="008A3F53"/>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566E7"/>
    <w:rsid w:val="00A940D3"/>
    <w:rsid w:val="00A96FCA"/>
    <w:rsid w:val="00AA4BE8"/>
    <w:rsid w:val="00AC0AAB"/>
    <w:rsid w:val="00AC7BA9"/>
    <w:rsid w:val="00B0425E"/>
    <w:rsid w:val="00B900E2"/>
    <w:rsid w:val="00B9118E"/>
    <w:rsid w:val="00BD6115"/>
    <w:rsid w:val="00BD684A"/>
    <w:rsid w:val="00C32DAE"/>
    <w:rsid w:val="00C40E24"/>
    <w:rsid w:val="00C61B80"/>
    <w:rsid w:val="00C63F97"/>
    <w:rsid w:val="00C92D9A"/>
    <w:rsid w:val="00C96EF5"/>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7C3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n.calvert@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3051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2021-01-19T16:09:00Z</dcterms:created>
  <dcterms:modified xsi:type="dcterms:W3CDTF">2021-01-19T16:09:00Z</dcterms:modified>
</cp:coreProperties>
</file>